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110</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401630</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cs="Arial"/>
          <w:b/>
          <w:sz w:val="24"/>
          <w:szCs w:val="24"/>
          <w:lang w:eastAsia="zh-CN"/>
        </w:rPr>
        <w:t>Athens, GR, 26 Feb – 01 Mar</w:t>
      </w:r>
      <w:r>
        <w:rPr>
          <w:rFonts w:ascii="Arial" w:hAnsi="Arial" w:eastAsia="宋体"/>
          <w:b/>
          <w:color w:val="auto"/>
          <w:sz w:val="24"/>
          <w:lang w:eastAsia="zh-CN"/>
        </w:rPr>
        <w:t>, 202</w:t>
      </w:r>
      <w:r>
        <w:rPr>
          <w:rFonts w:hint="eastAsia" w:ascii="Arial" w:hAnsi="Arial" w:eastAsia="宋体"/>
          <w:b/>
          <w:color w:val="auto"/>
          <w:sz w:val="24"/>
          <w:lang w:val="en-US" w:eastAsia="zh-CN"/>
        </w:rPr>
        <w:t>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general aspects on RRM core requirements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8.3.2.1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last RAN4 meeting, RAN4 has spread extensive discussion around the simultaneous multi-panel/multi-beam reception and some agreements were achieved in [1], we summarized the agreements on core part as below.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3"/>
              </w:numPr>
              <w:overflowPunct/>
              <w:autoSpaceDE/>
              <w:autoSpaceDN/>
              <w:adjustRightInd/>
              <w:spacing w:after="120"/>
              <w:ind w:left="720" w:firstLineChars="0"/>
              <w:textAlignment w:val="auto"/>
              <w:rPr>
                <w:b/>
                <w:bCs/>
                <w:color w:val="0070C0"/>
                <w:szCs w:val="24"/>
                <w:lang w:eastAsia="zh-CN"/>
              </w:rPr>
            </w:pPr>
            <w:r>
              <w:rPr>
                <w:rFonts w:eastAsia="宋体"/>
                <w:color w:val="000000" w:themeColor="text1"/>
                <w:szCs w:val="24"/>
                <w:lang w:eastAsia="zh-CN"/>
                <w14:textFill>
                  <w14:solidFill>
                    <w14:schemeClr w14:val="tx1"/>
                  </w14:solidFill>
                </w14:textFill>
              </w:rPr>
              <w:t>Measurement period for L1-RSRP configured for GBBR, N = 8</w:t>
            </w:r>
          </w:p>
          <w:p>
            <w:pPr>
              <w:pStyle w:val="28"/>
              <w:numPr>
                <w:ilvl w:val="0"/>
                <w:numId w:val="3"/>
              </w:numPr>
              <w:overflowPunct/>
              <w:autoSpaceDE/>
              <w:autoSpaceDN/>
              <w:adjustRightInd/>
              <w:spacing w:after="120"/>
              <w:ind w:left="720" w:firstLineChars="0"/>
              <w:textAlignment w:val="auto"/>
              <w:rPr>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L1-RSRP non-GBBR measurement enhancement</w:t>
            </w:r>
            <w:r>
              <w:rPr>
                <w:rFonts w:eastAsia="宋体"/>
                <w:color w:val="000000" w:themeColor="text1"/>
                <w:szCs w:val="24"/>
                <w:lang w:eastAsia="zh-CN"/>
                <w14:textFill>
                  <w14:solidFill>
                    <w14:schemeClr w14:val="tx1"/>
                  </w14:solidFill>
                </w14:textFill>
              </w:rPr>
              <w:tab/>
            </w:r>
            <w:r>
              <w:rPr>
                <w:rFonts w:eastAsia="宋体"/>
                <w:color w:val="000000" w:themeColor="text1"/>
                <w:szCs w:val="24"/>
                <w:lang w:eastAsia="zh-CN"/>
                <w14:textFill>
                  <w14:solidFill>
                    <w14:schemeClr w14:val="tx1"/>
                  </w14:solidFill>
                </w14:textFill>
              </w:rPr>
              <w:t>for multi-Rx is applied to L1-SINR non-GBBR measurement.</w:t>
            </w:r>
          </w:p>
          <w:p>
            <w:pPr>
              <w:pStyle w:val="28"/>
              <w:numPr>
                <w:ilvl w:val="0"/>
                <w:numId w:val="3"/>
              </w:numPr>
              <w:overflowPunct/>
              <w:autoSpaceDE/>
              <w:autoSpaceDN/>
              <w:adjustRightInd/>
              <w:spacing w:after="120"/>
              <w:ind w:left="720" w:firstLineChars="0"/>
              <w:textAlignment w:val="auto"/>
              <w:rPr>
                <w:b/>
                <w:bCs/>
                <w:color w:val="0070C0"/>
                <w:szCs w:val="24"/>
                <w:lang w:eastAsia="zh-CN"/>
              </w:rPr>
            </w:pPr>
            <w:r>
              <w:rPr>
                <w:rFonts w:eastAsia="宋体"/>
                <w:color w:val="000000" w:themeColor="text1"/>
                <w:szCs w:val="24"/>
                <w:lang w:eastAsia="zh-CN"/>
                <w14:textFill>
                  <w14:solidFill>
                    <w14:schemeClr w14:val="tx1"/>
                  </w14:solidFill>
                </w14:textFill>
              </w:rPr>
              <w:t>For MAC CE based PDCCH TCI state switch for m-DCI scenario, no RRM requirement is defined for simultaneous PDCCH reception with different QCL typeD in Rel-18 multi-Rx WI.</w:t>
            </w:r>
          </w:p>
          <w:p>
            <w:pPr>
              <w:pStyle w:val="28"/>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Requirements for RRC based dual TCI state switch are defined.</w:t>
            </w:r>
          </w:p>
          <w:p>
            <w:pPr>
              <w:pStyle w:val="28"/>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For the requirement defined in the WI excepting the requirement for beam sweeping factor reduction:</w:t>
            </w:r>
          </w:p>
          <w:p>
            <w:pPr>
              <w:pStyle w:val="28"/>
              <w:numPr>
                <w:ilvl w:val="1"/>
                <w:numId w:val="3"/>
              </w:numPr>
              <w:overflowPunct/>
              <w:autoSpaceDE/>
              <w:autoSpaceDN/>
              <w:adjustRightInd/>
              <w:spacing w:after="120"/>
              <w:ind w:left="1440" w:firstLineChars="0"/>
              <w:textAlignment w:val="auto"/>
              <w:rPr>
                <w:b/>
                <w:bCs/>
                <w:color w:val="0070C0"/>
                <w:szCs w:val="24"/>
                <w:lang w:eastAsia="zh-CN"/>
              </w:rPr>
            </w:pPr>
            <w:r>
              <w:rPr>
                <w:color w:val="000000" w:themeColor="text1"/>
                <w14:textFill>
                  <w14:solidFill>
                    <w14:schemeClr w14:val="tx1"/>
                  </w14:solidFill>
                </w14:textFill>
              </w:rPr>
              <w:t>When the side conditions are not fulfilled, the corresponding multi-Rx requirement is not applicable.</w:t>
            </w:r>
          </w:p>
          <w:p>
            <w:pPr>
              <w:pStyle w:val="28"/>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Power class for new UE capability for simultaneous reception with different QCL typeD for L1 measurements.</w:t>
            </w:r>
          </w:p>
          <w:p>
            <w:pPr>
              <w:pStyle w:val="28"/>
              <w:numPr>
                <w:ilvl w:val="1"/>
                <w:numId w:val="3"/>
              </w:numPr>
              <w:overflowPunct/>
              <w:autoSpaceDE/>
              <w:autoSpaceDN/>
              <w:adjustRightInd/>
              <w:spacing w:after="120"/>
              <w:ind w:left="1440"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All power classes expect PC6 for multi-Rx.</w:t>
            </w:r>
          </w:p>
          <w:p>
            <w:pPr>
              <w:pStyle w:val="28"/>
              <w:numPr>
                <w:ilvl w:val="1"/>
                <w:numId w:val="3"/>
              </w:numPr>
              <w:overflowPunct/>
              <w:autoSpaceDE/>
              <w:autoSpaceDN/>
              <w:adjustRightInd/>
              <w:spacing w:after="120"/>
              <w:ind w:left="1440" w:firstLineChars="0"/>
              <w:textAlignment w:val="auto"/>
              <w:rPr>
                <w:color w:val="0070C0"/>
              </w:rPr>
            </w:pPr>
            <w:r>
              <w:rPr>
                <w:color w:val="000000" w:themeColor="text1"/>
                <w14:textFill>
                  <w14:solidFill>
                    <w14:schemeClr w14:val="tx1"/>
                  </w14:solidFill>
                </w14:textFill>
              </w:rPr>
              <w:t>Further discussion is not precluded if this agreement is not aligned with the RF decision.</w:t>
            </w:r>
          </w:p>
          <w:p>
            <w:pPr>
              <w:pStyle w:val="28"/>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Prerequisite features for new UE capability for simultaneous reception with different QCL typeD for L1 measurements.</w:t>
            </w:r>
          </w:p>
          <w:p>
            <w:pPr>
              <w:pStyle w:val="28"/>
              <w:numPr>
                <w:ilvl w:val="1"/>
                <w:numId w:val="3"/>
              </w:numPr>
              <w:overflowPunct/>
              <w:autoSpaceDE/>
              <w:autoSpaceDN/>
              <w:adjustRightInd/>
              <w:spacing w:after="120"/>
              <w:ind w:left="1440" w:firstLineChars="0"/>
              <w:textAlignment w:val="auto"/>
              <w:rPr>
                <w:rFonts w:hint="default" w:ascii="Times New Roman" w:hAnsi="Times New Roman" w:eastAsia="Times New Roman" w:cs="Times New Roman"/>
                <w:bCs/>
                <w:kern w:val="0"/>
                <w:sz w:val="20"/>
                <w:szCs w:val="24"/>
                <w:lang w:val="en-US" w:eastAsia="zh-CN" w:bidi="ar-SA"/>
              </w:rPr>
            </w:pPr>
            <w:r>
              <w:rPr>
                <w:color w:val="000000" w:themeColor="text1"/>
                <w14:textFill>
                  <w14:solidFill>
                    <w14:schemeClr w14:val="tx1"/>
                  </w14:solidFill>
                </w14:textFill>
              </w:rPr>
              <w:t>16-2c, 23-5-1, [at least one of 16-2a, 16-2b-1, 16-2b-2 and 16-2b-3]</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this document, we provide our further analysis focus on the remaining general issues around simultaneous multi-panel reception.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rPr>
          <w:rFonts w:hint="default"/>
          <w:b/>
          <w:color w:val="000000" w:themeColor="text1"/>
          <w:u w:val="single"/>
          <w:lang w:val="en-US" w:eastAsia="ko-KR"/>
          <w14:textFill>
            <w14:solidFill>
              <w14:schemeClr w14:val="tx1"/>
            </w14:solidFill>
          </w14:textFill>
        </w:rPr>
      </w:pPr>
      <w:r>
        <w:rPr>
          <w:rFonts w:hint="eastAsia"/>
          <w:b/>
          <w:color w:val="000000" w:themeColor="text1"/>
          <w:u w:val="single"/>
          <w:lang w:val="en-US" w:eastAsia="ko-KR"/>
          <w14:textFill>
            <w14:solidFill>
              <w14:schemeClr w14:val="tx1"/>
            </w14:solidFill>
          </w14:textFill>
        </w:rPr>
        <w:t>The condition of faster beam sweeping</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previous discussion, companies are diverse on this point. Some companies believe here the faster beam sweeping should be multi-Rx specific, not any normal feature, so the condition should be considered from the multi-Rx operation. While others believe once UE reports supporting the relevant UE capability, then no need to restrict under the multi-Rx operation.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Firstly, as companies raised, the feature of faster beam sweeping has already supported in some other R18 WIDs, but can only be applicable on some certain use case and with the clear condition. So in fact RAN4 still does not support any normal or general faster beam sweeping enhancements. From this point of view, for the UE who can maintain the mapping info between panels and beam sets, it is feasible to support a general feature of faster beam sweeping no matter currently UE is under the multi-Rx mode or single-Rx mode.</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While considering this R18 WID has already enter to the maintenance stage, to move forward, we can agree to restrict such UE capability only applicable under the multi-Rx mode, that is, to define a multi-Rx specific faster beam sweeping. So for the UE capable of faster beam sweeping, the following two conditions are needed when applying faster beam sweeping:</w:t>
      </w:r>
    </w:p>
    <w:p>
      <w:pPr>
        <w:pStyle w:val="8"/>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UE supports the multi-Rx capability</w:t>
      </w:r>
    </w:p>
    <w:p>
      <w:pPr>
        <w:pStyle w:val="8"/>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UE does not report the preference indication on one panel via UAI</w:t>
      </w:r>
    </w:p>
    <w:p>
      <w:pPr>
        <w:numPr>
          <w:ilvl w:val="0"/>
          <w:numId w:val="0"/>
        </w:numPr>
        <w:ind w:leftChars="0"/>
        <w:jc w:val="both"/>
        <w:rPr>
          <w:rFonts w:hint="eastAsia"/>
          <w:b/>
          <w:bCs/>
          <w:lang w:val="en-US" w:eastAsia="zh-CN"/>
        </w:rPr>
      </w:pPr>
      <w:r>
        <w:rPr>
          <w:rFonts w:hint="eastAsia"/>
          <w:b/>
          <w:bCs/>
          <w:lang w:val="en-US" w:eastAsia="zh-CN"/>
        </w:rPr>
        <w:t>Proposal 1: for the UE capable of faster beam sweeping, the following two conditions are needed when applying faster beam sweeping:</w:t>
      </w:r>
    </w:p>
    <w:p>
      <w:pPr>
        <w:numPr>
          <w:ilvl w:val="0"/>
          <w:numId w:val="0"/>
        </w:numPr>
        <w:jc w:val="both"/>
        <w:rPr>
          <w:rFonts w:hint="eastAsia"/>
          <w:b/>
          <w:bCs/>
          <w:lang w:val="en-US" w:eastAsia="zh-CN"/>
        </w:rPr>
      </w:pPr>
      <w:r>
        <w:rPr>
          <w:rFonts w:hint="eastAsia"/>
          <w:b/>
          <w:bCs/>
          <w:lang w:val="en-US" w:eastAsia="zh-CN"/>
        </w:rPr>
        <w:t>-  UE supports the multi-Rx capability</w:t>
      </w:r>
    </w:p>
    <w:p>
      <w:pPr>
        <w:numPr>
          <w:ilvl w:val="0"/>
          <w:numId w:val="0"/>
        </w:numPr>
        <w:jc w:val="both"/>
        <w:rPr>
          <w:rFonts w:hint="default"/>
          <w:b/>
          <w:bCs/>
          <w:lang w:val="en-US" w:eastAsia="zh-CN"/>
        </w:rPr>
      </w:pPr>
      <w:r>
        <w:rPr>
          <w:rFonts w:hint="eastAsia"/>
          <w:b/>
          <w:bCs/>
          <w:lang w:val="en-US" w:eastAsia="zh-CN"/>
        </w:rPr>
        <w:t>-  UE does not report the preference indication on one panel via UAI</w:t>
      </w:r>
    </w:p>
    <w:p>
      <w:pPr>
        <w:rPr>
          <w:b/>
          <w:color w:val="000000" w:themeColor="text1"/>
          <w:u w:val="single"/>
          <w:lang w:eastAsia="ko-KR"/>
          <w14:textFill>
            <w14:solidFill>
              <w14:schemeClr w14:val="tx1"/>
            </w14:solidFill>
          </w14:textFill>
        </w:rPr>
      </w:pPr>
    </w:p>
    <w:p>
      <w:pPr>
        <w:rPr>
          <w:rFonts w:hint="default"/>
          <w:b/>
          <w:color w:val="000000" w:themeColor="text1"/>
          <w:u w:val="single"/>
          <w:lang w:val="en-US" w:eastAsia="zh-CN"/>
          <w14:textFill>
            <w14:solidFill>
              <w14:schemeClr w14:val="tx1"/>
            </w14:solidFill>
          </w14:textFill>
        </w:rPr>
      </w:pPr>
      <w:r>
        <w:rPr>
          <w:rFonts w:hint="eastAsia"/>
          <w:b/>
          <w:color w:val="000000" w:themeColor="text1"/>
          <w:u w:val="single"/>
          <w:lang w:val="en-US" w:eastAsia="zh-CN"/>
          <w14:textFill>
            <w14:solidFill>
              <w14:schemeClr w14:val="tx1"/>
            </w14:solidFill>
          </w14:textFill>
        </w:rPr>
        <w:t>UE behavior when a condition becomes violated during a measruement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This issue has been warmly discussed during the recent several meetings. Some initial agreements were achieved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rPr>
                <w:rFonts w:hint="default"/>
                <w:b/>
                <w:bCs/>
                <w:color w:val="auto"/>
                <w:sz w:val="21"/>
                <w:highlight w:val="green"/>
                <w:lang w:val="en-US" w:eastAsia="zh-CN"/>
              </w:rPr>
            </w:pPr>
            <w:r>
              <w:rPr>
                <w:rFonts w:hint="eastAsia"/>
                <w:b/>
                <w:bCs/>
                <w:color w:val="auto"/>
                <w:sz w:val="21"/>
                <w:highlight w:val="green"/>
                <w:lang w:val="en-US" w:eastAsia="zh-CN"/>
              </w:rPr>
              <w:t xml:space="preserve">Agreements: </w:t>
            </w:r>
          </w:p>
          <w:p>
            <w:pPr>
              <w:rPr>
                <w:color w:val="auto"/>
                <w:sz w:val="21"/>
                <w:highlight w:val="green"/>
              </w:rPr>
            </w:pPr>
            <w:r>
              <w:rPr>
                <w:color w:val="auto"/>
                <w:sz w:val="21"/>
                <w:highlight w:val="green"/>
              </w:rPr>
              <w:t xml:space="preserve">For the requirement defined in the WI excepting the requirement for </w:t>
            </w:r>
            <w:r>
              <w:rPr>
                <w:rFonts w:eastAsiaTheme="minorEastAsia"/>
                <w:color w:val="auto"/>
                <w:sz w:val="21"/>
                <w:highlight w:val="green"/>
                <w:lang w:val="en-US"/>
              </w:rPr>
              <w:t>beam sweeping factor reduction</w:t>
            </w:r>
            <w:r>
              <w:rPr>
                <w:color w:val="auto"/>
                <w:sz w:val="21"/>
                <w:highlight w:val="green"/>
              </w:rPr>
              <w:t>:</w:t>
            </w:r>
          </w:p>
          <w:p>
            <w:pPr>
              <w:pStyle w:val="28"/>
              <w:numPr>
                <w:ilvl w:val="0"/>
                <w:numId w:val="6"/>
              </w:numPr>
              <w:rPr>
                <w:rFonts w:hint="default"/>
                <w:vertAlign w:val="baseline"/>
                <w:lang w:val="en-US" w:eastAsia="zh-CN"/>
              </w:rPr>
            </w:pPr>
            <w:r>
              <w:rPr>
                <w:color w:val="auto"/>
                <w:highlight w:val="green"/>
              </w:rPr>
              <w:t>When the side conditions are not fulfilled, the corresponding multi-Rx requirement is not applicable.</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the previous discussion, some companies prefer to not define any UE behavior when such violation happens. We concern on this.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Firstly we need to clarify which conditions may be involved in. To our understanding, there are two types of condition:</w:t>
      </w:r>
    </w:p>
    <w:p>
      <w:pPr>
        <w:pStyle w:val="8"/>
        <w:numPr>
          <w:ilvl w:val="0"/>
          <w:numId w:val="7"/>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Type 1: Whether the UE reporting the preference indication on one panel via UAI;</w:t>
      </w:r>
    </w:p>
    <w:p>
      <w:pPr>
        <w:pStyle w:val="8"/>
        <w:numPr>
          <w:ilvl w:val="0"/>
          <w:numId w:val="7"/>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Type 2: Whether the condition of application of measurement/scheduling restriction relxation meet.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Regarding the condition of Type 1, based on RAN2 signalling design in [2], a new indication to report UE preference for multi-Rx operation via UAI was decided. If UE not supporting simultaneous reception with different QCL-typeD for FR2, UE reports </w:t>
      </w:r>
      <w:r>
        <w:rPr>
          <w:rFonts w:hint="eastAsia" w:eastAsia="宋体"/>
          <w:i/>
          <w:iCs/>
          <w:color w:val="auto"/>
          <w:sz w:val="20"/>
          <w:szCs w:val="20"/>
          <w:lang w:val="en-US" w:eastAsia="zh-CN"/>
        </w:rPr>
        <w:t>multiRx-PreferenceFR2</w:t>
      </w:r>
      <w:r>
        <w:rPr>
          <w:rFonts w:hint="eastAsia" w:eastAsia="宋体"/>
          <w:color w:val="auto"/>
          <w:sz w:val="20"/>
          <w:szCs w:val="20"/>
          <w:lang w:val="en-US" w:eastAsia="zh-CN"/>
        </w:rPr>
        <w:t xml:space="preserve"> via UAI; Otherwise, not reports </w:t>
      </w:r>
      <w:r>
        <w:rPr>
          <w:rFonts w:hint="eastAsia" w:eastAsia="宋体"/>
          <w:i/>
          <w:iCs/>
          <w:color w:val="auto"/>
          <w:sz w:val="20"/>
          <w:szCs w:val="20"/>
          <w:lang w:val="en-US" w:eastAsia="zh-CN"/>
        </w:rPr>
        <w:t>multiRx-PreferenceFR2</w:t>
      </w:r>
      <w:r>
        <w:rPr>
          <w:rFonts w:hint="eastAsia" w:eastAsia="宋体"/>
          <w:color w:val="auto"/>
          <w:sz w:val="20"/>
          <w:szCs w:val="20"/>
          <w:lang w:val="en-US" w:eastAsia="zh-CN"/>
        </w:rPr>
        <w:t>. After receiving such UAI. After receiving such UAI reporting, not any explicit response from NW. If the NW tend to agree with UE</w:t>
      </w:r>
      <w:r>
        <w:rPr>
          <w:rFonts w:hint="default" w:eastAsia="宋体"/>
          <w:color w:val="auto"/>
          <w:sz w:val="20"/>
          <w:szCs w:val="20"/>
          <w:lang w:val="en-US" w:eastAsia="zh-CN"/>
        </w:rPr>
        <w:t>’</w:t>
      </w:r>
      <w:r>
        <w:rPr>
          <w:rFonts w:hint="eastAsia" w:eastAsia="宋体"/>
          <w:color w:val="auto"/>
          <w:sz w:val="20"/>
          <w:szCs w:val="20"/>
          <w:lang w:val="en-US" w:eastAsia="zh-CN"/>
        </w:rPr>
        <w:t>s preference, then some potential RRC reconfiguration may indicated to UE, or NW would schedule the subsequent transmission aligned with UE</w:t>
      </w:r>
      <w:r>
        <w:rPr>
          <w:rFonts w:hint="default" w:eastAsia="宋体"/>
          <w:color w:val="auto"/>
          <w:sz w:val="20"/>
          <w:szCs w:val="20"/>
          <w:lang w:val="en-US" w:eastAsia="zh-CN"/>
        </w:rPr>
        <w:t>’</w:t>
      </w:r>
      <w:r>
        <w:rPr>
          <w:rFonts w:hint="eastAsia" w:eastAsia="宋体"/>
          <w:color w:val="auto"/>
          <w:sz w:val="20"/>
          <w:szCs w:val="20"/>
          <w:lang w:val="en-US" w:eastAsia="zh-CN"/>
        </w:rPr>
        <w:t xml:space="preserve">s preference, but all of these depend on NW decision. So it is possible that no quick RRC reconfiguration indicted to UE, then it is necessary to specify UE behavior. If no RRC reconfiguration received at UE after the </w:t>
      </w:r>
      <w:r>
        <w:rPr>
          <w:rFonts w:hint="eastAsia" w:eastAsia="宋体"/>
          <w:i/>
          <w:iCs/>
          <w:color w:val="auto"/>
          <w:sz w:val="20"/>
          <w:szCs w:val="20"/>
          <w:lang w:val="en-US" w:eastAsia="zh-CN"/>
        </w:rPr>
        <w:t>multiRx-PreferenceFR2</w:t>
      </w:r>
      <w:r>
        <w:rPr>
          <w:rFonts w:hint="eastAsia" w:eastAsia="宋体"/>
          <w:color w:val="auto"/>
          <w:sz w:val="20"/>
          <w:szCs w:val="20"/>
          <w:lang w:val="en-US" w:eastAsia="zh-CN"/>
        </w:rPr>
        <w:t xml:space="preserve"> reporting, regarding the UE behavior, we believe there are two alternatives:</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Alternative 1: Continue the on-going PDCCH/PDSCH/RS receiving, if necessary,  simultaneous reception still can be performed</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Alternative 2: Apply some rule to determine single reception between the overlapping PDCCH/PDSCH/RS receiving</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From our perspective, both Alternative 1 and Alternative 2 can be considered, we do not have strong preference between them. Regarding Alternative 2, some simple rule can be used, such as first in first Rx, i.e. for the partial overlapping PDCCH/PDSCH/RS, the UE would receive the first detected signals, and the later signals partial overlapping with it would be dropped. Or the order of CORESET index or RS resource index can be used as the priority level, e.g. the small index always prioritize the big index.</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With respect to the condition of Type 2, if such condition are not met, then no measurement/restriction relxation applied. No need to define any additional solutions.</w:t>
      </w:r>
    </w:p>
    <w:p>
      <w:pPr>
        <w:numPr>
          <w:ilvl w:val="0"/>
          <w:numId w:val="0"/>
        </w:numPr>
        <w:jc w:val="both"/>
        <w:rPr>
          <w:rFonts w:hint="eastAsia"/>
          <w:b/>
          <w:bCs/>
          <w:i w:val="0"/>
          <w:iCs w:val="0"/>
          <w:lang w:val="en-US" w:eastAsia="zh-CN"/>
        </w:rPr>
      </w:pPr>
      <w:r>
        <w:rPr>
          <w:rFonts w:hint="eastAsia"/>
          <w:b/>
          <w:bCs/>
          <w:lang w:val="en-US" w:eastAsia="zh-CN"/>
        </w:rPr>
        <w:t xml:space="preserve">Proposal 2: Need to define the UE behavior when a condition becomes violated. After the UAI of </w:t>
      </w:r>
      <w:r>
        <w:rPr>
          <w:rFonts w:hint="eastAsia" w:eastAsia="宋体"/>
          <w:b/>
          <w:bCs/>
          <w:i/>
          <w:iCs/>
          <w:snapToGrid/>
          <w:lang w:val="en-US" w:eastAsia="zh-CN"/>
        </w:rPr>
        <w:t>m</w:t>
      </w:r>
      <w:r>
        <w:rPr>
          <w:rFonts w:hint="eastAsia"/>
          <w:b/>
          <w:bCs/>
          <w:i/>
          <w:iCs/>
        </w:rPr>
        <w:t>ultiR</w:t>
      </w:r>
      <w:r>
        <w:rPr>
          <w:rFonts w:hint="eastAsia"/>
          <w:b/>
          <w:bCs/>
          <w:i/>
          <w:iCs/>
          <w:lang w:val="en-US" w:eastAsia="zh-CN"/>
        </w:rPr>
        <w:t>x</w:t>
      </w:r>
      <w:r>
        <w:rPr>
          <w:rFonts w:hint="eastAsia"/>
          <w:b/>
          <w:bCs/>
          <w:i/>
          <w:iCs/>
        </w:rPr>
        <w:t>-PreferenceFR2</w:t>
      </w:r>
      <w:r>
        <w:rPr>
          <w:rFonts w:hint="eastAsia"/>
          <w:b/>
          <w:bCs/>
          <w:i w:val="0"/>
          <w:iCs w:val="0"/>
          <w:lang w:val="en-US" w:eastAsia="zh-CN"/>
        </w:rPr>
        <w:t xml:space="preserve"> reporting to NW, two alternatives for UE behavior if no single mode scheduling/RRC reconfiguration indicated to UE:</w:t>
      </w:r>
    </w:p>
    <w:p>
      <w:pPr>
        <w:numPr>
          <w:ilvl w:val="0"/>
          <w:numId w:val="0"/>
        </w:numPr>
        <w:ind w:leftChars="0"/>
        <w:jc w:val="both"/>
        <w:rPr>
          <w:rFonts w:hint="default"/>
          <w:b/>
          <w:bCs/>
          <w:lang w:val="en-US" w:eastAsia="zh-CN"/>
        </w:rPr>
      </w:pPr>
      <w:r>
        <w:rPr>
          <w:rFonts w:hint="eastAsia"/>
          <w:b/>
          <w:bCs/>
          <w:lang w:val="en-US" w:eastAsia="zh-CN"/>
        </w:rPr>
        <w:t>- Alternative 1: Continue the on-going PDCCH/PDSCH/RS receiving, if necessary,  simultaneous reception still can be performed</w:t>
      </w:r>
    </w:p>
    <w:p>
      <w:pPr>
        <w:jc w:val="both"/>
        <w:rPr>
          <w:b/>
          <w:color w:val="000000" w:themeColor="text1"/>
          <w:u w:val="single"/>
          <w:lang w:eastAsia="ko-KR"/>
          <w14:textFill>
            <w14:solidFill>
              <w14:schemeClr w14:val="tx1"/>
            </w14:solidFill>
          </w14:textFill>
        </w:rPr>
      </w:pPr>
      <w:r>
        <w:rPr>
          <w:rFonts w:hint="eastAsia"/>
          <w:b/>
          <w:bCs/>
          <w:lang w:val="en-US" w:eastAsia="zh-CN"/>
        </w:rPr>
        <w:t>- Alternative 2: Apply some rule to determine single reception between the overlapping PDCCH/PDSCH/RS receiving</w:t>
      </w:r>
    </w:p>
    <w:p>
      <w:pPr>
        <w:rPr>
          <w:b/>
          <w:color w:val="000000" w:themeColor="text1"/>
          <w:u w:val="single"/>
          <w:lang w:eastAsia="ko-KR"/>
          <w14:textFill>
            <w14:solidFill>
              <w14:schemeClr w14:val="tx1"/>
            </w14:solidFill>
          </w14:textFill>
        </w:rPr>
      </w:pPr>
    </w:p>
    <w:p>
      <w:pPr>
        <w:rPr>
          <w:rFonts w:hint="eastAsia"/>
          <w:b/>
          <w:color w:val="000000" w:themeColor="text1"/>
          <w:u w:val="single"/>
          <w:lang w:val="en-US" w:eastAsia="zh-CN"/>
          <w14:textFill>
            <w14:solidFill>
              <w14:schemeClr w14:val="tx1"/>
            </w14:solidFill>
          </w14:textFill>
        </w:rPr>
      </w:pPr>
      <w:r>
        <w:rPr>
          <w:rFonts w:hint="eastAsia"/>
          <w:b/>
          <w:color w:val="000000" w:themeColor="text1"/>
          <w:u w:val="single"/>
          <w:lang w:val="en-US" w:eastAsia="zh-CN"/>
          <w14:textFill>
            <w14:solidFill>
              <w14:schemeClr w14:val="tx1"/>
            </w14:solidFill>
          </w14:textFill>
        </w:rPr>
        <w:t>Prerequisite features for new UE capability for simultaneous reception with different QCL typeD for L1 measurements</w:t>
      </w:r>
    </w:p>
    <w:p>
      <w:pPr>
        <w:pStyle w:val="8"/>
        <w:tabs>
          <w:tab w:val="left" w:pos="226"/>
          <w:tab w:val="left" w:pos="284"/>
          <w:tab w:val="left" w:pos="5103"/>
        </w:tabs>
        <w:snapToGrid w:val="0"/>
        <w:spacing w:before="156" w:beforeLines="50"/>
        <w:rPr>
          <w:rFonts w:hint="eastAsia"/>
          <w:b/>
          <w:bCs/>
          <w:lang w:val="en-US" w:eastAsia="zh-CN"/>
        </w:rPr>
      </w:pPr>
      <w:r>
        <w:rPr>
          <w:rFonts w:hint="eastAsia" w:eastAsia="宋体"/>
          <w:color w:val="auto"/>
          <w:sz w:val="20"/>
          <w:szCs w:val="20"/>
          <w:lang w:val="en-US" w:eastAsia="zh-CN"/>
        </w:rPr>
        <w:t>In last meeting, it has been approved that the features 16-2c, 23-5-1 are prerequisite for simultaneous reception with different QCL typeD for L1 measurements. Whether other existing features should be seen as the prerequisite, still be FFS. Reviewing other relevant existing features, 16-2a and 16-2b-1 are UE features towards mDCI and sDCI respectively, to indicate whether mDCI based mTRP and sDCI based mTRP are supported by the UE. Since the simultaneous reception with different QCL typeD for L1 measurements is allowed under the mTRP scenario, either sDCI or mDCI, which should be used under mTRP scenario, so it seems that the features 16-2a or 16-2b-1 can be as the prerequisite.</w:t>
      </w:r>
    </w:p>
    <w:p>
      <w:pPr>
        <w:numPr>
          <w:ilvl w:val="0"/>
          <w:numId w:val="0"/>
        </w:numPr>
        <w:ind w:leftChars="0"/>
        <w:jc w:val="both"/>
        <w:rPr>
          <w:rFonts w:hint="default"/>
          <w:b/>
          <w:bCs/>
          <w:lang w:val="en-US" w:eastAsia="zh-CN"/>
        </w:rPr>
      </w:pPr>
      <w:r>
        <w:rPr>
          <w:rFonts w:hint="eastAsia"/>
          <w:b/>
          <w:bCs/>
          <w:lang w:val="en-US" w:eastAsia="zh-CN"/>
        </w:rPr>
        <w:t>Proposal 3: Existing UE features 16-2a or 16-2b-1 can be seen as prerequisite for simultaneous reception with different QCL typeD for L1 measurements.</w:t>
      </w:r>
    </w:p>
    <w:p>
      <w:pPr>
        <w:rPr>
          <w:b/>
          <w:color w:val="000000" w:themeColor="text1"/>
          <w:u w:val="single"/>
          <w:lang w:eastAsia="ko-KR"/>
          <w14:textFill>
            <w14:solidFill>
              <w14:schemeClr w14:val="tx1"/>
            </w14:solidFill>
          </w14:textFill>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bookmarkStart w:id="0" w:name="_GoBack"/>
      <w:bookmarkEnd w:id="0"/>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around general RRM aspects for simultaneous DL reception from different directions</w:t>
      </w:r>
      <w:r>
        <w:rPr>
          <w:rFonts w:eastAsia="宋体"/>
          <w:bCs/>
          <w:color w:val="auto"/>
          <w:sz w:val="20"/>
          <w:szCs w:val="20"/>
          <w:lang w:val="en-GB" w:eastAsia="zh-CN"/>
        </w:rPr>
        <w:t>:</w:t>
      </w:r>
    </w:p>
    <w:p>
      <w:pPr>
        <w:numPr>
          <w:ilvl w:val="0"/>
          <w:numId w:val="0"/>
        </w:numPr>
        <w:ind w:leftChars="0"/>
        <w:jc w:val="both"/>
        <w:rPr>
          <w:rFonts w:hint="eastAsia"/>
          <w:b/>
          <w:bCs/>
          <w:lang w:val="en-US" w:eastAsia="zh-CN"/>
        </w:rPr>
      </w:pPr>
      <w:r>
        <w:rPr>
          <w:rFonts w:hint="eastAsia"/>
          <w:b/>
          <w:bCs/>
          <w:lang w:val="en-US" w:eastAsia="zh-CN"/>
        </w:rPr>
        <w:t>Proposal 1: for the UE capable of faster beam sweeping, the following two conditions are needed when applying faster beam sweeping:</w:t>
      </w:r>
    </w:p>
    <w:p>
      <w:pPr>
        <w:numPr>
          <w:ilvl w:val="0"/>
          <w:numId w:val="0"/>
        </w:numPr>
        <w:jc w:val="both"/>
        <w:rPr>
          <w:rFonts w:hint="eastAsia"/>
          <w:b/>
          <w:bCs/>
          <w:lang w:val="en-US" w:eastAsia="zh-CN"/>
        </w:rPr>
      </w:pPr>
      <w:r>
        <w:rPr>
          <w:rFonts w:hint="eastAsia"/>
          <w:b/>
          <w:bCs/>
          <w:lang w:val="en-US" w:eastAsia="zh-CN"/>
        </w:rPr>
        <w:t>-  UE supports the multi-Rx capability</w:t>
      </w:r>
    </w:p>
    <w:p>
      <w:pPr>
        <w:numPr>
          <w:ilvl w:val="0"/>
          <w:numId w:val="0"/>
        </w:numPr>
        <w:jc w:val="both"/>
        <w:rPr>
          <w:rFonts w:hint="eastAsia"/>
          <w:b/>
          <w:bCs/>
          <w:lang w:val="en-US" w:eastAsia="zh-CN"/>
        </w:rPr>
      </w:pPr>
      <w:r>
        <w:rPr>
          <w:rFonts w:hint="eastAsia"/>
          <w:b/>
          <w:bCs/>
          <w:lang w:val="en-US" w:eastAsia="zh-CN"/>
        </w:rPr>
        <w:t>-  UE does not report the preference indication on one panel via UAI</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jc w:val="both"/>
        <w:textAlignment w:val="auto"/>
        <w:rPr>
          <w:rFonts w:hint="eastAsia"/>
          <w:b/>
          <w:bCs/>
          <w:i w:val="0"/>
          <w:iCs w:val="0"/>
          <w:lang w:val="en-US" w:eastAsia="zh-CN"/>
        </w:rPr>
      </w:pPr>
      <w:r>
        <w:rPr>
          <w:rFonts w:hint="eastAsia"/>
          <w:b/>
          <w:bCs/>
          <w:lang w:val="en-US" w:eastAsia="zh-CN"/>
        </w:rPr>
        <w:t xml:space="preserve">Proposal 2: Need to define the UE behavior when a condition becomes violated. After the UAI of </w:t>
      </w:r>
      <w:r>
        <w:rPr>
          <w:rFonts w:hint="eastAsia" w:eastAsia="宋体"/>
          <w:b/>
          <w:bCs/>
          <w:i/>
          <w:iCs/>
          <w:snapToGrid/>
          <w:lang w:val="en-US" w:eastAsia="zh-CN"/>
        </w:rPr>
        <w:t>m</w:t>
      </w:r>
      <w:r>
        <w:rPr>
          <w:rFonts w:hint="eastAsia"/>
          <w:b/>
          <w:bCs/>
          <w:i/>
          <w:iCs/>
        </w:rPr>
        <w:t>ultiR</w:t>
      </w:r>
      <w:r>
        <w:rPr>
          <w:rFonts w:hint="eastAsia"/>
          <w:b/>
          <w:bCs/>
          <w:i/>
          <w:iCs/>
          <w:lang w:val="en-US" w:eastAsia="zh-CN"/>
        </w:rPr>
        <w:t>x</w:t>
      </w:r>
      <w:r>
        <w:rPr>
          <w:rFonts w:hint="eastAsia"/>
          <w:b/>
          <w:bCs/>
          <w:i/>
          <w:iCs/>
        </w:rPr>
        <w:t>-PreferenceFR2</w:t>
      </w:r>
      <w:r>
        <w:rPr>
          <w:rFonts w:hint="eastAsia"/>
          <w:b/>
          <w:bCs/>
          <w:i w:val="0"/>
          <w:iCs w:val="0"/>
          <w:lang w:val="en-US" w:eastAsia="zh-CN"/>
        </w:rPr>
        <w:t xml:space="preserve"> reporting to NW, two alternatives for UE behavior if no single mode scheduling/RRC reconfiguration indicated to UE:</w:t>
      </w:r>
    </w:p>
    <w:p>
      <w:pPr>
        <w:numPr>
          <w:ilvl w:val="0"/>
          <w:numId w:val="0"/>
        </w:numPr>
        <w:ind w:leftChars="0"/>
        <w:jc w:val="both"/>
        <w:rPr>
          <w:rFonts w:hint="default"/>
          <w:b/>
          <w:bCs/>
          <w:lang w:val="en-US" w:eastAsia="zh-CN"/>
        </w:rPr>
      </w:pPr>
      <w:r>
        <w:rPr>
          <w:rFonts w:hint="eastAsia"/>
          <w:b/>
          <w:bCs/>
          <w:lang w:val="en-US" w:eastAsia="zh-CN"/>
        </w:rPr>
        <w:t>- Alternative 1: Continue the on-going PDCCH/PDSCH/RS receiving, if necessary,  simultaneous reception still can be performed</w:t>
      </w:r>
    </w:p>
    <w:p>
      <w:pPr>
        <w:jc w:val="both"/>
        <w:rPr>
          <w:rFonts w:hint="eastAsia"/>
          <w:b/>
          <w:bCs/>
          <w:lang w:val="en-US" w:eastAsia="zh-CN"/>
        </w:rPr>
      </w:pPr>
      <w:r>
        <w:rPr>
          <w:rFonts w:hint="eastAsia"/>
          <w:b/>
          <w:bCs/>
          <w:lang w:val="en-US" w:eastAsia="zh-CN"/>
        </w:rPr>
        <w:t>- Alternative 2: Apply some rule to determine single reception between the overlapping PDCCH/PDSCH/RS receiving</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jc w:val="both"/>
        <w:textAlignment w:val="auto"/>
        <w:rPr>
          <w:rFonts w:eastAsia="宋体"/>
          <w:bCs/>
          <w:color w:val="auto"/>
          <w:sz w:val="20"/>
          <w:szCs w:val="20"/>
          <w:lang w:val="en-GB" w:eastAsia="zh-CN"/>
        </w:rPr>
      </w:pPr>
      <w:r>
        <w:rPr>
          <w:rFonts w:hint="eastAsia"/>
          <w:b/>
          <w:bCs/>
          <w:lang w:val="en-US" w:eastAsia="zh-CN"/>
        </w:rPr>
        <w:t>Proposal 3: Existing UE features 16-2a or 16-2b-1 can be seen as prerequisite for simultaneous reception with different QCL typeD for L1 measurements.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8"/>
        </w:numPr>
        <w:ind w:leftChars="0"/>
        <w:rPr>
          <w:rFonts w:hint="eastAsia"/>
          <w:color w:val="auto"/>
          <w:highlight w:val="none"/>
          <w:lang w:val="en-US" w:eastAsia="zh-CN"/>
        </w:rPr>
      </w:pPr>
      <w:r>
        <w:rPr>
          <w:rFonts w:hint="eastAsia"/>
          <w:color w:val="auto"/>
          <w:highlight w:val="none"/>
          <w:lang w:val="en-US" w:eastAsia="zh-CN"/>
        </w:rPr>
        <w:t xml:space="preserve">R4-2321602 </w:t>
      </w:r>
      <w:r>
        <w:rPr>
          <w:rFonts w:hint="default"/>
          <w:color w:val="auto"/>
          <w:highlight w:val="none"/>
          <w:lang w:val="en-US" w:eastAsia="zh-CN"/>
        </w:rPr>
        <w:t>“</w:t>
      </w:r>
      <w:r>
        <w:rPr>
          <w:rFonts w:hint="eastAsia"/>
          <w:color w:val="auto"/>
          <w:highlight w:val="none"/>
          <w:lang w:val="en-US" w:eastAsia="zh-CN"/>
        </w:rPr>
        <w:t>WF on core maintenance and performance part for multi-Rx WI</w:t>
      </w:r>
      <w:r>
        <w:rPr>
          <w:rFonts w:hint="default"/>
          <w:color w:val="auto"/>
          <w:highlight w:val="none"/>
          <w:lang w:val="en-US" w:eastAsia="zh-CN"/>
        </w:rPr>
        <w:t>”</w:t>
      </w:r>
      <w:r>
        <w:rPr>
          <w:rFonts w:hint="eastAsia"/>
          <w:color w:val="auto"/>
          <w:highlight w:val="none"/>
          <w:lang w:val="en-US" w:eastAsia="zh-CN"/>
        </w:rPr>
        <w:t>, vivo, Ericsson.</w:t>
      </w:r>
    </w:p>
    <w:p>
      <w:pPr>
        <w:numPr>
          <w:ilvl w:val="0"/>
          <w:numId w:val="0"/>
        </w:numPr>
        <w:rPr>
          <w:rFonts w:hint="eastAsia" w:ascii="Times New Roman" w:hAnsi="Times New Roman" w:eastAsia="宋体" w:cs="Times New Roman"/>
          <w:bCs/>
          <w:color w:val="auto"/>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bidi="ar-SA"/>
        </w:rPr>
        <w:t>[</w:t>
      </w:r>
      <w:r>
        <w:rPr>
          <w:rFonts w:hint="eastAsia" w:eastAsia="宋体" w:cs="Times New Roman"/>
          <w:bCs/>
          <w:color w:val="auto"/>
          <w:sz w:val="21"/>
          <w:szCs w:val="21"/>
          <w:highlight w:val="none"/>
          <w:lang w:val="en-US" w:eastAsia="zh-CN" w:bidi="ar-SA"/>
        </w:rPr>
        <w:t>2</w:t>
      </w:r>
      <w:r>
        <w:rPr>
          <w:rFonts w:hint="eastAsia" w:ascii="Times New Roman" w:hAnsi="Times New Roman" w:eastAsia="宋体" w:cs="Times New Roman"/>
          <w:bCs/>
          <w:color w:val="auto"/>
          <w:sz w:val="21"/>
          <w:szCs w:val="21"/>
          <w:highlight w:val="none"/>
          <w:lang w:val="en-US" w:eastAsia="zh-CN" w:bidi="ar-SA"/>
        </w:rPr>
        <w:t>] RAN2-2313952, Introduction of UE preference for multi-Rx operation in UAI, Apple, Huawei, HiSilicon, CATT, Ericsson, Samsung, RAN2 #124.</w:t>
      </w: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01ECCEA4"/>
    <w:multiLevelType w:val="singleLevel"/>
    <w:tmpl w:val="01ECCEA4"/>
    <w:lvl w:ilvl="0" w:tentative="0">
      <w:start w:val="1"/>
      <w:numFmt w:val="bullet"/>
      <w:lvlText w:val=""/>
      <w:lvlJc w:val="left"/>
      <w:pPr>
        <w:ind w:left="420" w:hanging="420"/>
      </w:pPr>
      <w:rPr>
        <w:rFonts w:hint="default" w:ascii="Wingdings" w:hAnsi="Wingdings"/>
      </w:rPr>
    </w:lvl>
  </w:abstractNum>
  <w:abstractNum w:abstractNumId="2">
    <w:nsid w:val="0A0A41C8"/>
    <w:multiLevelType w:val="multilevel"/>
    <w:tmpl w:val="0A0A41C8"/>
    <w:lvl w:ilvl="0" w:tentative="0">
      <w:start w:val="1"/>
      <w:numFmt w:val="bullet"/>
      <w:lvlText w:val=""/>
      <w:lvlJc w:val="left"/>
      <w:pPr>
        <w:ind w:left="620" w:hanging="420"/>
      </w:pPr>
      <w:rPr>
        <w:rFonts w:hint="default" w:ascii="Symbol" w:hAnsi="Symbol"/>
        <w:lang w:val="en-GB"/>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B5BDF5F"/>
    <w:multiLevelType w:val="singleLevel"/>
    <w:tmpl w:val="1B5BDF5F"/>
    <w:lvl w:ilvl="0" w:tentative="0">
      <w:start w:val="1"/>
      <w:numFmt w:val="bullet"/>
      <w:lvlText w:val=""/>
      <w:lvlJc w:val="left"/>
      <w:pPr>
        <w:ind w:left="420" w:hanging="420"/>
      </w:pPr>
      <w:rPr>
        <w:rFonts w:hint="default" w:ascii="Wingdings" w:hAnsi="Wingdings"/>
      </w:rPr>
    </w:lvl>
  </w:abstractNum>
  <w:abstractNum w:abstractNumId="5">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8"/>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5"/>
  </w:num>
  <w:num w:numId="3">
    <w:abstractNumId w:val="6"/>
  </w:num>
  <w:num w:numId="4">
    <w:abstractNumId w:val="3"/>
  </w:num>
  <w:num w:numId="5">
    <w:abstractNumId w:val="4"/>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37CE"/>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2122247"/>
    <w:rsid w:val="02150C3F"/>
    <w:rsid w:val="022C3A09"/>
    <w:rsid w:val="028B6A1D"/>
    <w:rsid w:val="028F1C3E"/>
    <w:rsid w:val="037D0CB3"/>
    <w:rsid w:val="03D4720A"/>
    <w:rsid w:val="03E04DEA"/>
    <w:rsid w:val="04151694"/>
    <w:rsid w:val="04654053"/>
    <w:rsid w:val="04793516"/>
    <w:rsid w:val="047A3CFF"/>
    <w:rsid w:val="04885243"/>
    <w:rsid w:val="05317828"/>
    <w:rsid w:val="05477E90"/>
    <w:rsid w:val="05BB5AB9"/>
    <w:rsid w:val="05C42923"/>
    <w:rsid w:val="05F562DB"/>
    <w:rsid w:val="06963BA6"/>
    <w:rsid w:val="06965F3C"/>
    <w:rsid w:val="07CD3CDD"/>
    <w:rsid w:val="084B363C"/>
    <w:rsid w:val="0855671D"/>
    <w:rsid w:val="089009EB"/>
    <w:rsid w:val="09716BCA"/>
    <w:rsid w:val="098C1CEA"/>
    <w:rsid w:val="09D64B23"/>
    <w:rsid w:val="09E644B8"/>
    <w:rsid w:val="0A383F61"/>
    <w:rsid w:val="0B12013A"/>
    <w:rsid w:val="0B1C5C6A"/>
    <w:rsid w:val="0B243EFB"/>
    <w:rsid w:val="0B3D3C2F"/>
    <w:rsid w:val="0B5D15B4"/>
    <w:rsid w:val="0B6204CF"/>
    <w:rsid w:val="0BAC06FA"/>
    <w:rsid w:val="0BB0429A"/>
    <w:rsid w:val="0BFF5FC6"/>
    <w:rsid w:val="0C276675"/>
    <w:rsid w:val="0C394019"/>
    <w:rsid w:val="0EC91588"/>
    <w:rsid w:val="0F6C0B73"/>
    <w:rsid w:val="0F8009F9"/>
    <w:rsid w:val="10997F43"/>
    <w:rsid w:val="10DE7BAE"/>
    <w:rsid w:val="11023BFD"/>
    <w:rsid w:val="110404BB"/>
    <w:rsid w:val="111C20F6"/>
    <w:rsid w:val="11DD2CBB"/>
    <w:rsid w:val="11ED345F"/>
    <w:rsid w:val="120774A3"/>
    <w:rsid w:val="12580C13"/>
    <w:rsid w:val="130B3696"/>
    <w:rsid w:val="14006D19"/>
    <w:rsid w:val="1414436B"/>
    <w:rsid w:val="1481754F"/>
    <w:rsid w:val="148F5721"/>
    <w:rsid w:val="14AC57CD"/>
    <w:rsid w:val="14B9644E"/>
    <w:rsid w:val="15ED3E9B"/>
    <w:rsid w:val="164514BE"/>
    <w:rsid w:val="16E8141E"/>
    <w:rsid w:val="170F06AA"/>
    <w:rsid w:val="17225508"/>
    <w:rsid w:val="17B52E39"/>
    <w:rsid w:val="180A6E32"/>
    <w:rsid w:val="183F2CD2"/>
    <w:rsid w:val="1856323E"/>
    <w:rsid w:val="188D6BB6"/>
    <w:rsid w:val="18AF55E3"/>
    <w:rsid w:val="18B1519A"/>
    <w:rsid w:val="18CD0507"/>
    <w:rsid w:val="19561039"/>
    <w:rsid w:val="195D7D48"/>
    <w:rsid w:val="19852D03"/>
    <w:rsid w:val="1A6F1A83"/>
    <w:rsid w:val="1AD01A1B"/>
    <w:rsid w:val="1B4C5221"/>
    <w:rsid w:val="1B61065A"/>
    <w:rsid w:val="1B940E5A"/>
    <w:rsid w:val="1BBF3927"/>
    <w:rsid w:val="1C0B14AE"/>
    <w:rsid w:val="1C177B08"/>
    <w:rsid w:val="1C644189"/>
    <w:rsid w:val="1C9001C6"/>
    <w:rsid w:val="1CBA2101"/>
    <w:rsid w:val="1D0573D7"/>
    <w:rsid w:val="1D153DC4"/>
    <w:rsid w:val="1D223E0B"/>
    <w:rsid w:val="1D3A54CD"/>
    <w:rsid w:val="1DF33EB1"/>
    <w:rsid w:val="1E132F88"/>
    <w:rsid w:val="1E2867E9"/>
    <w:rsid w:val="1E853F6F"/>
    <w:rsid w:val="1E9C7BCC"/>
    <w:rsid w:val="1ECC1E3C"/>
    <w:rsid w:val="1F5B4632"/>
    <w:rsid w:val="1FFD4083"/>
    <w:rsid w:val="20013E13"/>
    <w:rsid w:val="20122D1B"/>
    <w:rsid w:val="202F3D4C"/>
    <w:rsid w:val="206F1E13"/>
    <w:rsid w:val="20E2786E"/>
    <w:rsid w:val="21014C39"/>
    <w:rsid w:val="21045DF0"/>
    <w:rsid w:val="21244EB1"/>
    <w:rsid w:val="213964D8"/>
    <w:rsid w:val="21595D04"/>
    <w:rsid w:val="21835807"/>
    <w:rsid w:val="21F13629"/>
    <w:rsid w:val="22AF59B6"/>
    <w:rsid w:val="2305377E"/>
    <w:rsid w:val="231A76D5"/>
    <w:rsid w:val="23BE460D"/>
    <w:rsid w:val="24122135"/>
    <w:rsid w:val="24A72551"/>
    <w:rsid w:val="24D4257E"/>
    <w:rsid w:val="24DC3855"/>
    <w:rsid w:val="24F5519F"/>
    <w:rsid w:val="25362D8A"/>
    <w:rsid w:val="2572202B"/>
    <w:rsid w:val="25AE612B"/>
    <w:rsid w:val="2605683C"/>
    <w:rsid w:val="26661176"/>
    <w:rsid w:val="26672AC5"/>
    <w:rsid w:val="26BB1419"/>
    <w:rsid w:val="27315D1D"/>
    <w:rsid w:val="27B748AA"/>
    <w:rsid w:val="27CB4CB9"/>
    <w:rsid w:val="27CC4452"/>
    <w:rsid w:val="281C2F58"/>
    <w:rsid w:val="28CD5B2D"/>
    <w:rsid w:val="292D5BF2"/>
    <w:rsid w:val="292F6239"/>
    <w:rsid w:val="29642C4B"/>
    <w:rsid w:val="29A66B9A"/>
    <w:rsid w:val="29B35277"/>
    <w:rsid w:val="2A34628C"/>
    <w:rsid w:val="2A724D05"/>
    <w:rsid w:val="2A7E505C"/>
    <w:rsid w:val="2AC85686"/>
    <w:rsid w:val="2AD04B5F"/>
    <w:rsid w:val="2B39549B"/>
    <w:rsid w:val="2BC05B2C"/>
    <w:rsid w:val="2BD617C5"/>
    <w:rsid w:val="2C112837"/>
    <w:rsid w:val="2C360608"/>
    <w:rsid w:val="2E014790"/>
    <w:rsid w:val="2EAE66A3"/>
    <w:rsid w:val="2EE77680"/>
    <w:rsid w:val="2F2F0FC8"/>
    <w:rsid w:val="2F591020"/>
    <w:rsid w:val="2F8E63A4"/>
    <w:rsid w:val="301C6BB6"/>
    <w:rsid w:val="30723652"/>
    <w:rsid w:val="30766FB2"/>
    <w:rsid w:val="30E965CE"/>
    <w:rsid w:val="312654EA"/>
    <w:rsid w:val="31565660"/>
    <w:rsid w:val="319708F2"/>
    <w:rsid w:val="31B14C9E"/>
    <w:rsid w:val="31E00A6C"/>
    <w:rsid w:val="31FE2981"/>
    <w:rsid w:val="32545CB6"/>
    <w:rsid w:val="33C522D7"/>
    <w:rsid w:val="33D97FA6"/>
    <w:rsid w:val="33F228A5"/>
    <w:rsid w:val="347C19A0"/>
    <w:rsid w:val="34807672"/>
    <w:rsid w:val="351B1E30"/>
    <w:rsid w:val="351D459F"/>
    <w:rsid w:val="358E5935"/>
    <w:rsid w:val="35B06C6A"/>
    <w:rsid w:val="36941AA2"/>
    <w:rsid w:val="36B46C09"/>
    <w:rsid w:val="36D37423"/>
    <w:rsid w:val="379D23F9"/>
    <w:rsid w:val="37E74183"/>
    <w:rsid w:val="38230E9D"/>
    <w:rsid w:val="3A185287"/>
    <w:rsid w:val="3A1F46B8"/>
    <w:rsid w:val="3A495290"/>
    <w:rsid w:val="3A692CD0"/>
    <w:rsid w:val="3B270929"/>
    <w:rsid w:val="3B3D5571"/>
    <w:rsid w:val="3B5D276F"/>
    <w:rsid w:val="3B673620"/>
    <w:rsid w:val="3B9A1F29"/>
    <w:rsid w:val="3CA83595"/>
    <w:rsid w:val="3CE4646B"/>
    <w:rsid w:val="3D5E7AA8"/>
    <w:rsid w:val="3D6F2596"/>
    <w:rsid w:val="3F5E503E"/>
    <w:rsid w:val="405F175E"/>
    <w:rsid w:val="40737877"/>
    <w:rsid w:val="407D705A"/>
    <w:rsid w:val="40A811A8"/>
    <w:rsid w:val="40C765F3"/>
    <w:rsid w:val="41B8634B"/>
    <w:rsid w:val="41C755BE"/>
    <w:rsid w:val="42424160"/>
    <w:rsid w:val="427919DF"/>
    <w:rsid w:val="42A01CD1"/>
    <w:rsid w:val="42B16B47"/>
    <w:rsid w:val="42F869D2"/>
    <w:rsid w:val="433D4368"/>
    <w:rsid w:val="43553536"/>
    <w:rsid w:val="438A79C8"/>
    <w:rsid w:val="44972678"/>
    <w:rsid w:val="44C465F8"/>
    <w:rsid w:val="451632B9"/>
    <w:rsid w:val="45906394"/>
    <w:rsid w:val="45D40A2F"/>
    <w:rsid w:val="45F60A50"/>
    <w:rsid w:val="46142D0C"/>
    <w:rsid w:val="46151904"/>
    <w:rsid w:val="463A5AC1"/>
    <w:rsid w:val="46970A81"/>
    <w:rsid w:val="46B036BF"/>
    <w:rsid w:val="46EE1939"/>
    <w:rsid w:val="47282363"/>
    <w:rsid w:val="476B3528"/>
    <w:rsid w:val="47C726B0"/>
    <w:rsid w:val="47EC7B96"/>
    <w:rsid w:val="485C7C16"/>
    <w:rsid w:val="489C691C"/>
    <w:rsid w:val="49DC4EAC"/>
    <w:rsid w:val="49E55BC5"/>
    <w:rsid w:val="4B9C7CDF"/>
    <w:rsid w:val="4C1C63D6"/>
    <w:rsid w:val="4C864A35"/>
    <w:rsid w:val="4E015C76"/>
    <w:rsid w:val="4E1A3FA5"/>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6E37BE"/>
    <w:rsid w:val="5372021A"/>
    <w:rsid w:val="53842339"/>
    <w:rsid w:val="53A3105E"/>
    <w:rsid w:val="53C64B93"/>
    <w:rsid w:val="548A6C60"/>
    <w:rsid w:val="54E07F19"/>
    <w:rsid w:val="551F20A6"/>
    <w:rsid w:val="55B1164D"/>
    <w:rsid w:val="55B4735E"/>
    <w:rsid w:val="55BB221D"/>
    <w:rsid w:val="56371459"/>
    <w:rsid w:val="56484633"/>
    <w:rsid w:val="569D39ED"/>
    <w:rsid w:val="574B3EB2"/>
    <w:rsid w:val="58D0053D"/>
    <w:rsid w:val="58F67DF5"/>
    <w:rsid w:val="59064002"/>
    <w:rsid w:val="59745E07"/>
    <w:rsid w:val="598C40A0"/>
    <w:rsid w:val="59930B2E"/>
    <w:rsid w:val="59DA647E"/>
    <w:rsid w:val="5A556E1A"/>
    <w:rsid w:val="5B9464DF"/>
    <w:rsid w:val="5C1166E3"/>
    <w:rsid w:val="5E2864D0"/>
    <w:rsid w:val="5E494511"/>
    <w:rsid w:val="5E7C0F18"/>
    <w:rsid w:val="5EB44FC0"/>
    <w:rsid w:val="5EB81F13"/>
    <w:rsid w:val="5EDA64BC"/>
    <w:rsid w:val="5F207F65"/>
    <w:rsid w:val="5F6666BE"/>
    <w:rsid w:val="5FBA395F"/>
    <w:rsid w:val="60B92183"/>
    <w:rsid w:val="60EC2CBA"/>
    <w:rsid w:val="61661B78"/>
    <w:rsid w:val="618636C8"/>
    <w:rsid w:val="61CC2D28"/>
    <w:rsid w:val="62DE3B93"/>
    <w:rsid w:val="630C63B9"/>
    <w:rsid w:val="63454F29"/>
    <w:rsid w:val="635902CD"/>
    <w:rsid w:val="642A3E76"/>
    <w:rsid w:val="645814EE"/>
    <w:rsid w:val="645E1DDB"/>
    <w:rsid w:val="64706BBE"/>
    <w:rsid w:val="64F2095B"/>
    <w:rsid w:val="65267327"/>
    <w:rsid w:val="65D63F94"/>
    <w:rsid w:val="66036AF7"/>
    <w:rsid w:val="66850BFA"/>
    <w:rsid w:val="67594709"/>
    <w:rsid w:val="67A858DB"/>
    <w:rsid w:val="67FE4166"/>
    <w:rsid w:val="68AD2162"/>
    <w:rsid w:val="68C401C3"/>
    <w:rsid w:val="69045D7F"/>
    <w:rsid w:val="693027BF"/>
    <w:rsid w:val="6968769B"/>
    <w:rsid w:val="696C5A1D"/>
    <w:rsid w:val="69831B57"/>
    <w:rsid w:val="698E7A9D"/>
    <w:rsid w:val="69A833BD"/>
    <w:rsid w:val="69FB3F8F"/>
    <w:rsid w:val="6A5D78D5"/>
    <w:rsid w:val="6A85354A"/>
    <w:rsid w:val="6B891BF1"/>
    <w:rsid w:val="6BE46C6E"/>
    <w:rsid w:val="6C5B584F"/>
    <w:rsid w:val="6C8E0C06"/>
    <w:rsid w:val="6CD1716B"/>
    <w:rsid w:val="6D566F0F"/>
    <w:rsid w:val="6D7A1775"/>
    <w:rsid w:val="6D836F72"/>
    <w:rsid w:val="6DC2026F"/>
    <w:rsid w:val="6DDE3DAF"/>
    <w:rsid w:val="6E281030"/>
    <w:rsid w:val="6E2C7D5B"/>
    <w:rsid w:val="6E3241BE"/>
    <w:rsid w:val="6EB97A9D"/>
    <w:rsid w:val="6EC82818"/>
    <w:rsid w:val="6EF10A90"/>
    <w:rsid w:val="6F9621E0"/>
    <w:rsid w:val="6FC2089A"/>
    <w:rsid w:val="6FD45BF8"/>
    <w:rsid w:val="6FFF1868"/>
    <w:rsid w:val="70332195"/>
    <w:rsid w:val="712150A0"/>
    <w:rsid w:val="71507435"/>
    <w:rsid w:val="715F4C2D"/>
    <w:rsid w:val="721C3FA1"/>
    <w:rsid w:val="722F78FB"/>
    <w:rsid w:val="723D67C5"/>
    <w:rsid w:val="7244013B"/>
    <w:rsid w:val="7250627B"/>
    <w:rsid w:val="72BF60CA"/>
    <w:rsid w:val="72F41282"/>
    <w:rsid w:val="733D0D32"/>
    <w:rsid w:val="73D411F1"/>
    <w:rsid w:val="74165422"/>
    <w:rsid w:val="753811DE"/>
    <w:rsid w:val="75647498"/>
    <w:rsid w:val="7566040A"/>
    <w:rsid w:val="757733D9"/>
    <w:rsid w:val="75A7114C"/>
    <w:rsid w:val="75BE67D4"/>
    <w:rsid w:val="75C2004C"/>
    <w:rsid w:val="75C759C1"/>
    <w:rsid w:val="760F5DAE"/>
    <w:rsid w:val="762D64F3"/>
    <w:rsid w:val="766B6FB4"/>
    <w:rsid w:val="767E7EFF"/>
    <w:rsid w:val="76A9299C"/>
    <w:rsid w:val="775B4604"/>
    <w:rsid w:val="77C067C3"/>
    <w:rsid w:val="77EA64D7"/>
    <w:rsid w:val="782347DB"/>
    <w:rsid w:val="78911E31"/>
    <w:rsid w:val="7922350F"/>
    <w:rsid w:val="792B5470"/>
    <w:rsid w:val="79B2715A"/>
    <w:rsid w:val="79C637D8"/>
    <w:rsid w:val="7A5712B9"/>
    <w:rsid w:val="7A9367CB"/>
    <w:rsid w:val="7AA10DE7"/>
    <w:rsid w:val="7AD3168F"/>
    <w:rsid w:val="7AF22571"/>
    <w:rsid w:val="7B69224B"/>
    <w:rsid w:val="7BE80F25"/>
    <w:rsid w:val="7C1C35A7"/>
    <w:rsid w:val="7C45431D"/>
    <w:rsid w:val="7C952974"/>
    <w:rsid w:val="7D243E1C"/>
    <w:rsid w:val="7D3219D5"/>
    <w:rsid w:val="7D734AA7"/>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473</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2024-02-19T09:55:42Z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AE12E00B060A4B598356520CC3E162FF</vt:lpwstr>
  </property>
</Properties>
</file>